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1620"/>
        </w:tabs>
        <w:kinsoku/>
        <w:wordWrap/>
        <w:overflowPunct/>
        <w:topLinePunct w:val="0"/>
        <w:autoSpaceDE/>
        <w:autoSpaceDN/>
        <w:bidi w:val="0"/>
        <w:spacing w:line="520" w:lineRule="exact"/>
        <w:textAlignment w:val="auto"/>
        <w:rPr>
          <w:rFonts w:hint="eastAsia" w:ascii="黑体" w:eastAsia="黑体" w:cs="仿宋_GB2312"/>
          <w:sz w:val="32"/>
          <w:szCs w:val="32"/>
          <w:lang w:bidi="ar"/>
        </w:rPr>
      </w:pPr>
      <w:bookmarkStart w:id="0" w:name="_GoBack"/>
      <w:r>
        <w:rPr>
          <w:rFonts w:hint="eastAsia" w:ascii="黑体" w:eastAsia="黑体" w:cs="仿宋_GB2312"/>
          <w:sz w:val="32"/>
          <w:szCs w:val="32"/>
          <w:lang w:bidi="ar"/>
        </w:rPr>
        <w:t>附件</w:t>
      </w:r>
      <w:r>
        <w:rPr>
          <w:rFonts w:hint="eastAsia" w:ascii="黑体" w:eastAsia="黑体" w:cs="仿宋_GB2312"/>
          <w:sz w:val="32"/>
          <w:szCs w:val="32"/>
          <w:lang w:val="en-US" w:eastAsia="zh-CN" w:bidi="ar"/>
        </w:rPr>
        <w:t>2-</w:t>
      </w:r>
      <w:r>
        <w:rPr>
          <w:rFonts w:hint="eastAsia" w:ascii="黑体" w:eastAsia="黑体" w:cs="仿宋_GB2312"/>
          <w:sz w:val="32"/>
          <w:szCs w:val="32"/>
          <w:lang w:bidi="ar"/>
        </w:rPr>
        <w:t>1</w:t>
      </w:r>
    </w:p>
    <w:p>
      <w:pPr>
        <w:keepNext w:val="0"/>
        <w:keepLines w:val="0"/>
        <w:pageBreakBefore w:val="0"/>
        <w:widowControl w:val="0"/>
        <w:tabs>
          <w:tab w:val="left" w:pos="1620"/>
        </w:tabs>
        <w:kinsoku/>
        <w:wordWrap/>
        <w:overflowPunct/>
        <w:topLinePunct w:val="0"/>
        <w:autoSpaceDE/>
        <w:autoSpaceDN/>
        <w:bidi w:val="0"/>
        <w:spacing w:line="520" w:lineRule="exact"/>
        <w:textAlignment w:val="auto"/>
        <w:rPr>
          <w:rFonts w:hint="eastAsia" w:ascii="黑体" w:eastAsia="黑体" w:cs="仿宋_GB2312"/>
          <w:sz w:val="30"/>
          <w:szCs w:val="30"/>
          <w:lang w:bidi="ar"/>
        </w:rPr>
      </w:pPr>
    </w:p>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方正小标宋简体" w:eastAsia="方正小标宋简体"/>
          <w:sz w:val="38"/>
          <w:szCs w:val="38"/>
        </w:rPr>
      </w:pPr>
      <w:r>
        <w:rPr>
          <w:rFonts w:hint="eastAsia" w:ascii="方正小标宋简体" w:eastAsia="方正小标宋简体"/>
          <w:sz w:val="38"/>
          <w:szCs w:val="38"/>
        </w:rPr>
        <w:t>“诵读中国”经典诵读大赛上海赛区比赛方案</w:t>
      </w:r>
    </w:p>
    <w:bookmarkEnd w:id="0"/>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黑体" w:hAnsi="宋体" w:eastAsia="黑体" w:cs="黑体"/>
          <w:sz w:val="30"/>
          <w:szCs w:val="30"/>
        </w:rPr>
      </w:pPr>
    </w:p>
    <w:p>
      <w:pPr>
        <w:keepNext w:val="0"/>
        <w:keepLines w:val="0"/>
        <w:pageBreakBefore w:val="0"/>
        <w:widowControl w:val="0"/>
        <w:tabs>
          <w:tab w:val="left" w:pos="4830"/>
        </w:tabs>
        <w:kinsoku/>
        <w:wordWrap/>
        <w:overflowPunct/>
        <w:topLinePunct w:val="0"/>
        <w:autoSpaceDE/>
        <w:autoSpaceDN/>
        <w:bidi w:val="0"/>
        <w:adjustRightInd w:val="0"/>
        <w:snapToGrid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根据根据《教育部办公厅关于举办第六届中华经典诵写讲大赛的通知》（教语用厅函〔2024〕2号）</w:t>
      </w:r>
      <w:r>
        <w:rPr>
          <w:rFonts w:hint="eastAsia" w:ascii="仿宋_GB2312" w:hAnsi="仿宋_GB2312" w:eastAsia="仿宋_GB2312" w:cs="仿宋_GB2312"/>
          <w:sz w:val="30"/>
          <w:szCs w:val="30"/>
          <w:lang w:val="en-US" w:eastAsia="zh-CN"/>
        </w:rPr>
        <w:t>精神</w:t>
      </w:r>
      <w:r>
        <w:rPr>
          <w:rFonts w:hint="eastAsia" w:ascii="仿宋_GB2312" w:hAnsi="仿宋_GB2312" w:eastAsia="仿宋_GB2312" w:cs="仿宋_GB2312"/>
          <w:sz w:val="30"/>
          <w:szCs w:val="30"/>
        </w:rPr>
        <w:t xml:space="preserve">，由上海市教师教育学院、上海市语言文字工作者协会承办“诵读中国”经典诵读大赛上海赛区比赛，具体方案如下。 </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黑体" w:hAnsi="宋体" w:eastAsia="黑体" w:cs="黑体"/>
          <w:sz w:val="30"/>
          <w:szCs w:val="30"/>
          <w:lang w:bidi="ar"/>
        </w:rPr>
      </w:pPr>
      <w:r>
        <w:rPr>
          <w:rFonts w:hint="eastAsia" w:ascii="黑体" w:hAnsi="宋体" w:eastAsia="黑体" w:cs="黑体"/>
          <w:sz w:val="30"/>
          <w:szCs w:val="30"/>
          <w:lang w:val="en-US" w:eastAsia="zh-CN" w:bidi="ar"/>
        </w:rPr>
        <w:t>一、</w:t>
      </w:r>
      <w:r>
        <w:rPr>
          <w:rFonts w:hint="eastAsia" w:ascii="黑体" w:hAnsi="宋体" w:eastAsia="黑体" w:cs="黑体"/>
          <w:sz w:val="30"/>
          <w:szCs w:val="30"/>
          <w:lang w:bidi="ar"/>
        </w:rPr>
        <w:t>组织机构</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承办单位：上海市教师教育学院</w:t>
      </w:r>
      <w:r>
        <w:rPr>
          <w:rFonts w:hint="eastAsia" w:ascii="仿宋_GB2312" w:hAnsi="仿宋_GB2312" w:eastAsia="仿宋_GB2312" w:cs="仿宋_GB2312"/>
          <w:sz w:val="30"/>
          <w:szCs w:val="30"/>
          <w:lang w:eastAsia="zh-CN" w:bidi="ar"/>
        </w:rPr>
        <w:t>、</w:t>
      </w:r>
      <w:r>
        <w:rPr>
          <w:rFonts w:hint="eastAsia" w:ascii="仿宋_GB2312" w:hAnsi="仿宋_GB2312" w:eastAsia="仿宋_GB2312" w:cs="仿宋_GB2312"/>
          <w:sz w:val="30"/>
          <w:szCs w:val="30"/>
          <w:lang w:bidi="ar"/>
        </w:rPr>
        <w:t>上海市语言文字工作者协会</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黑体" w:hAnsi="宋体" w:eastAsia="黑体" w:cs="黑体"/>
          <w:sz w:val="30"/>
          <w:szCs w:val="30"/>
          <w:lang w:bidi="ar"/>
        </w:rPr>
      </w:pPr>
      <w:r>
        <w:rPr>
          <w:rFonts w:hint="eastAsia" w:ascii="黑体" w:hAnsi="宋体" w:eastAsia="黑体" w:cs="黑体"/>
          <w:sz w:val="30"/>
          <w:szCs w:val="30"/>
          <w:lang w:val="en-US" w:eastAsia="zh-CN" w:bidi="ar"/>
        </w:rPr>
        <w:t>二、</w:t>
      </w:r>
      <w:r>
        <w:rPr>
          <w:rFonts w:hint="eastAsia" w:ascii="黑体" w:hAnsi="宋体" w:eastAsia="黑体" w:cs="黑体"/>
          <w:sz w:val="30"/>
          <w:szCs w:val="30"/>
          <w:lang w:bidi="ar"/>
        </w:rPr>
        <w:t>参赛对象与组别</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参赛对象为全国大中小学校在校学生、在职教师、社会人员，以及在海外的中国公民（含留学生）、外国公民。</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分为小学生组、中学生组、职业学校学生组（含中职、高职学生）、大学生组（含研究生）、留学生组（在华留学生）、教师组（含幼儿园在职教师）、社会人员组（鼓励家庭成员组队，鼓励街镇和行业系统参赛）、海外组（含在海外学习、工作和生活的中国公民、外国公民），共8个组别。每组可个人参赛，也可2人（含）以上组成团队参赛。团队参赛过程中人员不得替换、增加。除社会人员组、海外人员组外，其他组别不得跨组参赛。社会人员组至少有1名社会人员。海外组自主报名，可通过大赛官网获取报名及上传作品途径。</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黑体" w:hAnsi="宋体" w:eastAsia="黑体" w:cs="黑体"/>
          <w:sz w:val="30"/>
          <w:szCs w:val="30"/>
          <w:lang w:bidi="ar"/>
        </w:rPr>
      </w:pPr>
      <w:r>
        <w:rPr>
          <w:rFonts w:hint="eastAsia" w:ascii="黑体" w:hAnsi="宋体" w:eastAsia="黑体" w:cs="黑体"/>
          <w:sz w:val="30"/>
          <w:szCs w:val="30"/>
          <w:lang w:val="en-US" w:eastAsia="zh-CN" w:bidi="ar"/>
        </w:rPr>
        <w:t>三、</w:t>
      </w:r>
      <w:r>
        <w:rPr>
          <w:rFonts w:hint="eastAsia" w:ascii="黑体" w:hAnsi="宋体" w:eastAsia="黑体" w:cs="黑体"/>
          <w:sz w:val="30"/>
          <w:szCs w:val="30"/>
          <w:lang w:bidi="ar"/>
        </w:rPr>
        <w:t>参赛要求</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楷体_GB2312" w:hAnsi="仿宋" w:eastAsia="楷体_GB2312" w:cs="仿宋"/>
          <w:sz w:val="30"/>
          <w:szCs w:val="30"/>
          <w:lang w:bidi="ar"/>
        </w:rPr>
      </w:pPr>
      <w:r>
        <w:rPr>
          <w:rFonts w:hint="eastAsia" w:ascii="楷体_GB2312" w:hAnsi="仿宋" w:eastAsia="楷体_GB2312" w:cs="仿宋"/>
          <w:sz w:val="30"/>
          <w:szCs w:val="30"/>
          <w:lang w:bidi="ar"/>
        </w:rPr>
        <w:t>（一）内容要求</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我国古代、近现代和当代有社会影响力和典范价值的，体现中华优秀文化的经典诗词、文章和优秀图书内容节选。当代作品应已正式出版或由省级以上广播电视等主流媒体公开发布或发表。诵读文本主体前后可根据需要增加总计不超过200字的过渡语（计入总时长）。改编、网络以及自创文本不在征集之列。</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楷体_GB2312" w:hAnsi="仿宋" w:eastAsia="楷体_GB2312" w:cs="仿宋"/>
          <w:sz w:val="30"/>
          <w:szCs w:val="30"/>
          <w:lang w:bidi="ar"/>
        </w:rPr>
      </w:pPr>
      <w:r>
        <w:rPr>
          <w:rFonts w:hint="eastAsia" w:ascii="楷体_GB2312" w:hAnsi="仿宋" w:eastAsia="楷体_GB2312" w:cs="仿宋"/>
          <w:sz w:val="30"/>
          <w:szCs w:val="30"/>
          <w:lang w:bidi="ar"/>
        </w:rPr>
        <w:t>（二）形式要求</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参赛作品要求为2024年新创作录制的视频，高清1920*1080横屏拍摄，格式为MP4，长度为3—6分钟，大小不超过700MB，图像、声音清晰，不抖动、无噪音。视频作品必须同期录音，不得后期配音。</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视频文字建议使用方正字库字体或其他有版权的字体，视频中不得使用未经肖像权人同意的肖像，不得使用未经授权的图片、视频和音频，不得出现与诵读大赛无关的条幅、角标等。</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楷体_GB2312" w:hAnsi="仿宋" w:eastAsia="楷体_GB2312" w:cs="仿宋"/>
          <w:sz w:val="30"/>
          <w:szCs w:val="30"/>
          <w:lang w:bidi="ar"/>
        </w:rPr>
      </w:pPr>
      <w:r>
        <w:rPr>
          <w:rFonts w:hint="eastAsia" w:ascii="楷体_GB2312" w:hAnsi="仿宋" w:eastAsia="楷体_GB2312" w:cs="仿宋"/>
          <w:sz w:val="30"/>
          <w:szCs w:val="30"/>
          <w:lang w:bidi="ar"/>
        </w:rPr>
        <w:t>（三）其他要求</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作品可借助音乐、服装等手段融合展现诵读内容。鼓励以团队形式诵读，团队人数不超过20人。</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每人最多可参与个人或团队诵读作品1个。每个作品指导教师不超过2人，同一作品的参赛者不得同时署名该作品的指导教师。多个作品获得一等奖的同一指导老师不重复获得优秀指导教师奖。</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正确、规范填写参赛者姓名、作品名称、所在单位或学校等信息。作品上传时间截止后，相关信息不得更改。</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黑体" w:hAnsi="宋体" w:eastAsia="黑体" w:cs="黑体"/>
          <w:sz w:val="30"/>
          <w:szCs w:val="30"/>
          <w:lang w:bidi="ar"/>
        </w:rPr>
      </w:pPr>
      <w:r>
        <w:rPr>
          <w:rFonts w:hint="eastAsia" w:ascii="黑体" w:hAnsi="宋体" w:eastAsia="黑体" w:cs="黑体"/>
          <w:sz w:val="30"/>
          <w:szCs w:val="30"/>
          <w:lang w:bidi="ar"/>
        </w:rPr>
        <w:t>四、赛程安排</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楷体_GB2312" w:hAnsi="仿宋" w:eastAsia="楷体_GB2312" w:cs="仿宋"/>
          <w:sz w:val="30"/>
          <w:szCs w:val="30"/>
          <w:lang w:bidi="ar"/>
        </w:rPr>
      </w:pPr>
      <w:r>
        <w:rPr>
          <w:rFonts w:hint="eastAsia" w:ascii="楷体_GB2312" w:hAnsi="仿宋" w:eastAsia="楷体_GB2312" w:cs="仿宋"/>
          <w:sz w:val="30"/>
          <w:szCs w:val="30"/>
          <w:lang w:bidi="ar"/>
        </w:rPr>
        <w:t>（一）基层遴选（2024年5月—6月）</w:t>
      </w:r>
    </w:p>
    <w:p>
      <w:pPr>
        <w:keepNext w:val="0"/>
        <w:keepLines w:val="0"/>
        <w:pageBreakBefore w:val="0"/>
        <w:widowControl w:val="0"/>
        <w:kinsoku/>
        <w:wordWrap/>
        <w:overflowPunct/>
        <w:topLinePunct w:val="0"/>
        <w:autoSpaceDE/>
        <w:autoSpaceDN/>
        <w:bidi w:val="0"/>
        <w:spacing w:line="52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lang w:bidi="ar"/>
        </w:rPr>
        <w:t>1.选拔方式</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小学生组、中学生组：各区语委办组织本区中、小学生选拔活动，推荐小学组、中学组优秀作品各3—5件。</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职业院校学生组（中职学生）：各区语委办组织本区中职学生选拔活动，推荐优秀作品2—3件。</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职业院校学生组（高职学生）：各高职院校组织本校学生选拔活动，推荐优秀作品2—3件。</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大学生组（含研究生）：各大学组织本校大学生选拔活动，推荐优秀作品3—5件。</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留学生组</w:t>
      </w:r>
      <w:r>
        <w:rPr>
          <w:rFonts w:hint="eastAsia" w:ascii="仿宋_GB2312" w:hAnsi="仿宋_GB2312" w:eastAsia="仿宋_GB2312" w:cs="仿宋_GB2312"/>
          <w:sz w:val="30"/>
          <w:szCs w:val="30"/>
          <w:lang w:eastAsia="zh-CN" w:bidi="ar"/>
        </w:rPr>
        <w:t>（</w:t>
      </w:r>
      <w:r>
        <w:rPr>
          <w:rFonts w:hint="eastAsia" w:ascii="仿宋_GB2312" w:hAnsi="仿宋_GB2312" w:eastAsia="仿宋_GB2312" w:cs="仿宋_GB2312"/>
          <w:sz w:val="30"/>
          <w:szCs w:val="30"/>
          <w:lang w:bidi="ar"/>
        </w:rPr>
        <w:t>在华留学生</w:t>
      </w:r>
      <w:r>
        <w:rPr>
          <w:rFonts w:hint="eastAsia" w:ascii="仿宋_GB2312" w:hAnsi="仿宋_GB2312" w:eastAsia="仿宋_GB2312" w:cs="仿宋_GB2312"/>
          <w:sz w:val="30"/>
          <w:szCs w:val="30"/>
          <w:lang w:eastAsia="zh-CN" w:bidi="ar"/>
        </w:rPr>
        <w:t>）</w:t>
      </w:r>
      <w:r>
        <w:rPr>
          <w:rFonts w:hint="eastAsia" w:ascii="仿宋_GB2312" w:hAnsi="仿宋_GB2312" w:eastAsia="仿宋_GB2312" w:cs="仿宋_GB2312"/>
          <w:sz w:val="30"/>
          <w:szCs w:val="30"/>
          <w:lang w:bidi="ar"/>
        </w:rPr>
        <w:t xml:space="preserve">：各高校组织本校留学生选拔活动，推荐优秀作品1—2件。 </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教师组（含幼儿园在职教师）：各高校组织校级选拔活动，推荐2件优秀作品。各区语委办组织本区选拔活动，推荐优秀作品2件。</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社会人员组：各区语委办在本区域组织选拔活动，推荐优秀作品不超过5件（其中应包括街镇和行业系统的作品）。</w:t>
      </w:r>
    </w:p>
    <w:p>
      <w:pPr>
        <w:keepNext w:val="0"/>
        <w:keepLines w:val="0"/>
        <w:pageBreakBefore w:val="0"/>
        <w:widowControl w:val="0"/>
        <w:kinsoku/>
        <w:wordWrap/>
        <w:overflowPunct/>
        <w:topLinePunct w:val="0"/>
        <w:autoSpaceDE/>
        <w:autoSpaceDN/>
        <w:bidi w:val="0"/>
        <w:spacing w:line="520" w:lineRule="exact"/>
        <w:ind w:firstLine="602" w:firstLineChars="200"/>
        <w:textAlignment w:val="auto"/>
        <w:rPr>
          <w:rFonts w:hint="eastAsia" w:ascii="仿宋_GB2312" w:hAnsi="仿宋_GB2312" w:eastAsia="仿宋_GB2312" w:cs="仿宋_GB2312"/>
          <w:b/>
          <w:sz w:val="30"/>
          <w:szCs w:val="30"/>
          <w:lang w:bidi="ar"/>
        </w:rPr>
      </w:pPr>
      <w:r>
        <w:rPr>
          <w:rFonts w:hint="eastAsia" w:ascii="仿宋_GB2312" w:hAnsi="仿宋_GB2312" w:eastAsia="仿宋_GB2312" w:cs="仿宋_GB2312"/>
          <w:b/>
          <w:sz w:val="30"/>
          <w:szCs w:val="30"/>
          <w:lang w:bidi="ar"/>
        </w:rPr>
        <w:t>2.报送方式</w:t>
      </w:r>
    </w:p>
    <w:p>
      <w:pPr>
        <w:keepNext w:val="0"/>
        <w:keepLines w:val="0"/>
        <w:pageBreakBefore w:val="0"/>
        <w:widowControl w:val="0"/>
        <w:numPr>
          <w:ilvl w:val="0"/>
          <w:numId w:val="0"/>
        </w:numPr>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lang w:bidi="ar"/>
        </w:rPr>
      </w:pPr>
      <w:r>
        <w:rPr>
          <w:rFonts w:hint="eastAsia" w:ascii="仿宋_GB2312" w:hAnsi="仿宋_GB2312" w:eastAsia="仿宋_GB2312" w:cs="仿宋_GB2312"/>
          <w:sz w:val="30"/>
          <w:szCs w:val="30"/>
          <w:lang w:bidi="ar"/>
        </w:rPr>
        <w:t>（</w:t>
      </w:r>
      <w:r>
        <w:rPr>
          <w:rFonts w:hint="eastAsia" w:ascii="仿宋_GB2312" w:hAnsi="仿宋_GB2312" w:eastAsia="仿宋_GB2312" w:cs="仿宋_GB2312"/>
          <w:sz w:val="30"/>
          <w:szCs w:val="30"/>
          <w:lang w:val="en-US" w:eastAsia="zh-CN" w:bidi="ar"/>
        </w:rPr>
        <w:t>1</w:t>
      </w:r>
      <w:r>
        <w:rPr>
          <w:rFonts w:hint="eastAsia" w:ascii="仿宋_GB2312" w:hAnsi="仿宋_GB2312" w:eastAsia="仿宋_GB2312" w:cs="仿宋_GB2312"/>
          <w:sz w:val="30"/>
          <w:szCs w:val="30"/>
          <w:lang w:bidi="ar"/>
        </w:rPr>
        <w:t>）2024年6月10日24:00前，各高校</w:t>
      </w:r>
      <w:r>
        <w:rPr>
          <w:rFonts w:hint="eastAsia" w:ascii="仿宋_GB2312" w:hAnsi="仿宋_GB2312" w:eastAsia="仿宋_GB2312" w:cs="仿宋_GB2312"/>
          <w:sz w:val="30"/>
          <w:szCs w:val="30"/>
          <w:lang w:eastAsia="zh-CN" w:bidi="ar"/>
        </w:rPr>
        <w:t>、</w:t>
      </w:r>
      <w:r>
        <w:rPr>
          <w:rFonts w:hint="eastAsia" w:ascii="仿宋_GB2312" w:hAnsi="仿宋_GB2312" w:eastAsia="仿宋_GB2312" w:cs="仿宋_GB2312"/>
          <w:sz w:val="30"/>
          <w:szCs w:val="30"/>
          <w:lang w:bidi="ar"/>
        </w:rPr>
        <w:t>各区语委、教育局</w:t>
      </w:r>
      <w:r>
        <w:rPr>
          <w:rFonts w:hint="eastAsia" w:ascii="仿宋_GB2312" w:hAnsi="仿宋_GB2312" w:eastAsia="仿宋_GB2312" w:cs="仿宋_GB2312"/>
          <w:sz w:val="30"/>
          <w:szCs w:val="30"/>
          <w:lang w:val="en-US" w:eastAsia="zh-CN" w:bidi="ar"/>
        </w:rPr>
        <w:t>通知</w:t>
      </w:r>
      <w:r>
        <w:rPr>
          <w:rFonts w:hint="eastAsia" w:ascii="仿宋_GB2312" w:hAnsi="仿宋_GB2312" w:eastAsia="仿宋_GB2312" w:cs="仿宋_GB2312"/>
          <w:sz w:val="30"/>
          <w:szCs w:val="30"/>
          <w:lang w:bidi="ar"/>
        </w:rPr>
        <w:t>入围上海赛区市级评审的选手登录</w:t>
      </w:r>
      <w:r>
        <w:rPr>
          <w:rFonts w:hint="eastAsia" w:ascii="仿宋_GB2312" w:hAnsi="仿宋_GB2312" w:eastAsia="仿宋_GB2312" w:cs="仿宋_GB2312"/>
          <w:sz w:val="30"/>
          <w:szCs w:val="30"/>
          <w:lang w:val="en-US" w:eastAsia="zh-CN" w:bidi="ar"/>
        </w:rPr>
        <w:t>中华经典诵写讲</w:t>
      </w:r>
      <w:r>
        <w:rPr>
          <w:rFonts w:hint="eastAsia" w:ascii="仿宋_GB2312" w:hAnsi="仿宋_GB2312" w:eastAsia="仿宋_GB2312" w:cs="仿宋_GB2312"/>
          <w:sz w:val="30"/>
          <w:szCs w:val="30"/>
          <w:lang w:bidi="ar"/>
        </w:rPr>
        <w:t>大赛官网（https://jdsxj.eduyun.cn），用个人手机号进行注册，完成语言文字知识及诵读常识测评。测评可多次进行，系统确定最高分为最终成绩，60分以上为测评合格。</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bidi="ar"/>
        </w:rPr>
        <w:t>（</w:t>
      </w:r>
      <w:r>
        <w:rPr>
          <w:rFonts w:hint="eastAsia" w:ascii="仿宋_GB2312" w:hAnsi="仿宋_GB2312" w:eastAsia="仿宋_GB2312" w:cs="仿宋_GB2312"/>
          <w:sz w:val="30"/>
          <w:szCs w:val="30"/>
          <w:lang w:val="en-US" w:eastAsia="zh-CN" w:bidi="ar"/>
        </w:rPr>
        <w:t>2</w:t>
      </w:r>
      <w:r>
        <w:rPr>
          <w:rFonts w:hint="eastAsia" w:ascii="仿宋_GB2312" w:hAnsi="仿宋_GB2312" w:eastAsia="仿宋_GB2312" w:cs="仿宋_GB2312"/>
          <w:sz w:val="30"/>
          <w:szCs w:val="30"/>
          <w:lang w:eastAsia="zh-CN" w:bidi="ar"/>
        </w:rPr>
        <w:t>）</w:t>
      </w:r>
      <w:r>
        <w:rPr>
          <w:rFonts w:hint="eastAsia" w:ascii="仿宋_GB2312" w:hAnsi="仿宋_GB2312" w:eastAsia="仿宋_GB2312" w:cs="仿宋_GB2312"/>
          <w:sz w:val="30"/>
          <w:szCs w:val="30"/>
          <w:lang w:bidi="ar"/>
        </w:rPr>
        <w:t>2024年6月10日前，各高校</w:t>
      </w:r>
      <w:r>
        <w:rPr>
          <w:rFonts w:hint="eastAsia" w:ascii="仿宋_GB2312" w:hAnsi="仿宋_GB2312" w:eastAsia="仿宋_GB2312" w:cs="仿宋_GB2312"/>
          <w:sz w:val="30"/>
          <w:szCs w:val="30"/>
          <w:lang w:eastAsia="zh-CN" w:bidi="ar"/>
        </w:rPr>
        <w:t>、</w:t>
      </w:r>
      <w:r>
        <w:rPr>
          <w:rFonts w:hint="eastAsia" w:ascii="仿宋_GB2312" w:hAnsi="仿宋_GB2312" w:eastAsia="仿宋_GB2312" w:cs="仿宋_GB2312"/>
          <w:sz w:val="30"/>
          <w:szCs w:val="30"/>
          <w:lang w:bidi="ar"/>
        </w:rPr>
        <w:t>各区语委、教育局将作品汇总表及时报送。承办单位不接受个人提交作品。</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《“诵读中国”经典诵读大赛</w:t>
      </w:r>
      <w:r>
        <w:rPr>
          <w:rFonts w:hint="eastAsia" w:ascii="仿宋_GB2312" w:hAnsi="仿宋_GB2312" w:eastAsia="仿宋_GB2312" w:cs="仿宋_GB2312"/>
          <w:sz w:val="30"/>
          <w:szCs w:val="30"/>
          <w:lang w:val="en-US" w:eastAsia="zh-CN" w:bidi="ar"/>
        </w:rPr>
        <w:t>上海赛区</w:t>
      </w:r>
      <w:r>
        <w:rPr>
          <w:rFonts w:hint="eastAsia" w:ascii="仿宋_GB2312" w:hAnsi="仿宋_GB2312" w:eastAsia="仿宋_GB2312" w:cs="仿宋_GB2312"/>
          <w:sz w:val="30"/>
          <w:szCs w:val="30"/>
          <w:lang w:bidi="ar"/>
        </w:rPr>
        <w:t>作品汇总表》（见附表），标题格式为“诵读大赛作品汇总表+区或高校”，填妥后请加盖区教育局或高校公章，制作成电子版（EXCEL表格）及加盖公章扫描版（PDF格式），发送至指定邮箱（shpsc@vip.163.com）。</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（3）2024年6月15日24:00前，入围上海赛区市级评审的选手登录</w:t>
      </w:r>
      <w:r>
        <w:rPr>
          <w:rFonts w:hint="eastAsia" w:ascii="仿宋_GB2312" w:hAnsi="仿宋_GB2312" w:eastAsia="仿宋_GB2312" w:cs="仿宋_GB2312"/>
          <w:sz w:val="30"/>
          <w:szCs w:val="30"/>
          <w:lang w:val="en-US" w:eastAsia="zh-CN" w:bidi="ar"/>
        </w:rPr>
        <w:t>中华经典诵写讲</w:t>
      </w:r>
      <w:r>
        <w:rPr>
          <w:rFonts w:hint="eastAsia" w:ascii="仿宋_GB2312" w:hAnsi="仿宋_GB2312" w:eastAsia="仿宋_GB2312" w:cs="仿宋_GB2312"/>
          <w:sz w:val="30"/>
          <w:szCs w:val="30"/>
          <w:lang w:bidi="ar"/>
        </w:rPr>
        <w:t>大赛官网（https://jdsxj.eduyun.cn），填写作品信息并上传参赛作品。</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楷体_GB2312" w:hAnsi="仿宋" w:eastAsia="楷体_GB2312" w:cs="仿宋"/>
          <w:sz w:val="30"/>
          <w:szCs w:val="30"/>
          <w:lang w:bidi="ar"/>
        </w:rPr>
      </w:pPr>
      <w:r>
        <w:rPr>
          <w:rFonts w:hint="eastAsia" w:ascii="楷体_GB2312" w:hAnsi="仿宋" w:eastAsia="楷体_GB2312" w:cs="仿宋"/>
          <w:sz w:val="30"/>
          <w:szCs w:val="30"/>
          <w:lang w:bidi="ar"/>
        </w:rPr>
        <w:t>（二）市级评选（2024年6月—7月）</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承办单位组织专家进行市级评审，评选出入围全国复赛的选手名单。评审结果于2024年7月5日（星期五）前报送上海赛区执委会。</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黑体" w:hAnsi="宋体" w:eastAsia="黑体" w:cs="黑体"/>
          <w:sz w:val="30"/>
          <w:szCs w:val="30"/>
          <w:lang w:bidi="ar"/>
        </w:rPr>
      </w:pPr>
      <w:r>
        <w:rPr>
          <w:rFonts w:hint="eastAsia" w:ascii="黑体" w:hAnsi="宋体" w:eastAsia="黑体" w:cs="黑体"/>
          <w:sz w:val="30"/>
          <w:szCs w:val="30"/>
          <w:lang w:bidi="ar"/>
        </w:rPr>
        <w:t>五、奖项设置</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“诵读中国”经典诵读大赛上海赛区每个组别各评选出等第奖、优秀奖以及优秀指导奖若干。</w:t>
      </w:r>
    </w:p>
    <w:p>
      <w:pPr>
        <w:keepNext w:val="0"/>
        <w:keepLines w:val="0"/>
        <w:pageBreakBefore w:val="0"/>
        <w:widowControl w:val="0"/>
        <w:kinsoku/>
        <w:wordWrap/>
        <w:overflowPunct/>
        <w:topLinePunct w:val="0"/>
        <w:autoSpaceDE/>
        <w:autoSpaceDN/>
        <w:bidi w:val="0"/>
        <w:spacing w:line="520" w:lineRule="exact"/>
        <w:ind w:firstLine="600" w:firstLineChars="200"/>
        <w:textAlignment w:val="auto"/>
        <w:rPr>
          <w:rFonts w:hint="eastAsia" w:ascii="黑体" w:hAnsi="宋体" w:eastAsia="黑体" w:cs="黑体"/>
          <w:sz w:val="30"/>
          <w:szCs w:val="30"/>
          <w:lang w:bidi="ar"/>
        </w:rPr>
      </w:pPr>
      <w:r>
        <w:rPr>
          <w:rFonts w:hint="eastAsia" w:ascii="黑体" w:hAnsi="宋体" w:eastAsia="黑体" w:cs="黑体"/>
          <w:sz w:val="30"/>
          <w:szCs w:val="30"/>
          <w:lang w:bidi="ar"/>
        </w:rPr>
        <w:t>六、联系方式</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联系人：李老师</w:t>
      </w:r>
    </w:p>
    <w:p>
      <w:r>
        <w:rPr>
          <w:rFonts w:hint="eastAsia" w:ascii="仿宋_GB2312" w:hAnsi="仿宋_GB2312" w:eastAsia="仿宋_GB2312" w:cs="仿宋_GB2312"/>
          <w:color w:val="000000"/>
          <w:sz w:val="30"/>
          <w:szCs w:val="30"/>
          <w:lang w:val="en-US" w:eastAsia="zh-CN" w:bidi="ar"/>
        </w:rPr>
        <w:t>联系电话：021-52135065（工作日9:00—16:00）、13512182474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hZjM0YTY1MTQwYmQ1NjA2YjUzM2ViOTZiZjhhMzUifQ=="/>
  </w:docVars>
  <w:rsids>
    <w:rsidRoot w:val="23E57870"/>
    <w:rsid w:val="23E578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page numb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2024-05-12T01:37:00Z</dcterms:created>
  <dc:creator>-Avenir-</dc:creator>
  <cp:lastModifiedBy>-Avenir-</cp:lastModifiedBy>
  <dcterms:modified xsi:type="dcterms:W3CDTF">2024-05-12T01:37:56Z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5592C4E06F0F4E0C9CD451314A1A540F_11</vt:lpwstr>
  </property>
</Properties>
</file>